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8A" w:rsidRDefault="006916F0" w:rsidP="00527DC2">
      <w:pPr>
        <w:bidi/>
        <w:jc w:val="center"/>
        <w:rPr>
          <w:rtl/>
          <w:lang w:bidi="fa-IR"/>
        </w:rPr>
      </w:pPr>
      <w:r>
        <w:rPr>
          <w:rFonts w:hint="cs"/>
          <w:rtl/>
          <w:lang w:bidi="fa-IR"/>
        </w:rPr>
        <w:t>خارج اصول22</w:t>
      </w:r>
    </w:p>
    <w:p w:rsidR="006916F0" w:rsidRDefault="006916F0" w:rsidP="00527DC2">
      <w:pPr>
        <w:bidi/>
        <w:jc w:val="center"/>
        <w:rPr>
          <w:rtl/>
          <w:lang w:bidi="fa-IR"/>
        </w:rPr>
      </w:pPr>
      <w:r>
        <w:rPr>
          <w:rFonts w:hint="cs"/>
          <w:rtl/>
          <w:lang w:bidi="fa-IR"/>
        </w:rPr>
        <w:t>شنبه 18/ 8/ 98</w:t>
      </w:r>
    </w:p>
    <w:p w:rsidR="006916F0" w:rsidRPr="00527DC2" w:rsidRDefault="006916F0" w:rsidP="00527DC2">
      <w:pPr>
        <w:pBdr>
          <w:bottom w:val="single" w:sz="12" w:space="1" w:color="auto"/>
        </w:pBdr>
        <w:bidi/>
        <w:jc w:val="center"/>
        <w:rPr>
          <w:color w:val="FF0000"/>
          <w:rtl/>
          <w:lang w:bidi="fa-IR"/>
        </w:rPr>
      </w:pPr>
      <w:r w:rsidRPr="00527DC2">
        <w:rPr>
          <w:rFonts w:hint="cs"/>
          <w:color w:val="FF0000"/>
          <w:rtl/>
          <w:lang w:bidi="fa-IR"/>
        </w:rPr>
        <w:t>*اقسام واجب*</w:t>
      </w:r>
    </w:p>
    <w:p w:rsidR="006916F0" w:rsidRDefault="006916F0" w:rsidP="00332803">
      <w:pPr>
        <w:bidi/>
        <w:rPr>
          <w:rtl/>
          <w:lang w:bidi="ar-IQ"/>
        </w:rPr>
      </w:pPr>
      <w:r>
        <w:rPr>
          <w:rFonts w:hint="cs"/>
          <w:rtl/>
          <w:lang w:bidi="fa-IR"/>
        </w:rPr>
        <w:t>نتیجه ی مباحث گذشته این شد که اگر بدانیم قید</w:t>
      </w:r>
      <w:r w:rsidRPr="006916F0">
        <w:rPr>
          <w:rFonts w:hint="cs"/>
          <w:rtl/>
          <w:lang w:bidi="fa-IR"/>
        </w:rPr>
        <w:t xml:space="preserve"> </w:t>
      </w:r>
      <w:r>
        <w:rPr>
          <w:rFonts w:hint="cs"/>
          <w:rtl/>
          <w:lang w:bidi="fa-IR"/>
        </w:rPr>
        <w:t>در باب اوامر، قید هیئت است یا قید ماد</w:t>
      </w:r>
      <w:r w:rsidR="00332803">
        <w:rPr>
          <w:rFonts w:hint="cs"/>
          <w:rtl/>
          <w:lang w:bidi="fa-IR"/>
        </w:rPr>
        <w:t>ّ</w:t>
      </w:r>
      <w:r>
        <w:rPr>
          <w:rFonts w:hint="cs"/>
          <w:rtl/>
          <w:lang w:bidi="fa-IR"/>
        </w:rPr>
        <w:t>ه، تکلیف مشخ</w:t>
      </w:r>
      <w:r w:rsidR="00332803">
        <w:rPr>
          <w:rFonts w:hint="cs"/>
          <w:rtl/>
          <w:lang w:bidi="fa-IR"/>
        </w:rPr>
        <w:t>ّ</w:t>
      </w:r>
      <w:r>
        <w:rPr>
          <w:rFonts w:hint="cs"/>
          <w:rtl/>
          <w:lang w:bidi="fa-IR"/>
        </w:rPr>
        <w:t>ص شده و قائل می شویم به اینکه قبل از زمان واجب</w:t>
      </w:r>
      <w:r w:rsidR="00332803">
        <w:rPr>
          <w:rFonts w:hint="cs"/>
          <w:rtl/>
          <w:lang w:bidi="fa-IR"/>
        </w:rPr>
        <w:t>،</w:t>
      </w:r>
      <w:r>
        <w:rPr>
          <w:rFonts w:hint="cs"/>
          <w:rtl/>
          <w:lang w:bidi="fa-IR"/>
        </w:rPr>
        <w:t xml:space="preserve"> خطابی وجود ندارد لذا مقد</w:t>
      </w:r>
      <w:r w:rsidR="00332803">
        <w:rPr>
          <w:rFonts w:hint="cs"/>
          <w:rtl/>
          <w:lang w:bidi="fa-IR"/>
        </w:rPr>
        <w:t>ّ</w:t>
      </w:r>
      <w:r>
        <w:rPr>
          <w:rFonts w:hint="cs"/>
          <w:rtl/>
          <w:lang w:bidi="fa-IR"/>
        </w:rPr>
        <w:t>مه</w:t>
      </w:r>
      <w:r w:rsidR="00527DC2">
        <w:rPr>
          <w:rFonts w:hint="cs"/>
          <w:rtl/>
          <w:lang w:bidi="fa-IR"/>
        </w:rPr>
        <w:t>،</w:t>
      </w:r>
      <w:r>
        <w:rPr>
          <w:rFonts w:hint="cs"/>
          <w:rtl/>
          <w:lang w:bidi="fa-IR"/>
        </w:rPr>
        <w:t xml:space="preserve"> واجب نیست(در فرض او</w:t>
      </w:r>
      <w:r w:rsidR="00332803">
        <w:rPr>
          <w:rFonts w:hint="cs"/>
          <w:rtl/>
          <w:lang w:bidi="fa-IR"/>
        </w:rPr>
        <w:t>ّ</w:t>
      </w:r>
      <w:r>
        <w:rPr>
          <w:rFonts w:hint="cs"/>
          <w:rtl/>
          <w:lang w:bidi="fa-IR"/>
        </w:rPr>
        <w:t>ل)</w:t>
      </w:r>
      <w:r w:rsidR="00527DC2">
        <w:rPr>
          <w:rFonts w:hint="cs"/>
          <w:rtl/>
          <w:lang w:bidi="fa-IR"/>
        </w:rPr>
        <w:t>؛</w:t>
      </w:r>
      <w:r>
        <w:rPr>
          <w:rFonts w:hint="cs"/>
          <w:rtl/>
          <w:lang w:bidi="fa-IR"/>
        </w:rPr>
        <w:t xml:space="preserve"> یا خطاب وجود دارد و مقد</w:t>
      </w:r>
      <w:r w:rsidR="00332803">
        <w:rPr>
          <w:rFonts w:hint="cs"/>
          <w:rtl/>
          <w:lang w:bidi="fa-IR"/>
        </w:rPr>
        <w:t>ّ</w:t>
      </w:r>
      <w:r>
        <w:rPr>
          <w:rFonts w:hint="cs"/>
          <w:rtl/>
          <w:lang w:bidi="fa-IR"/>
        </w:rPr>
        <w:t>مه</w:t>
      </w:r>
      <w:r w:rsidR="00527DC2">
        <w:rPr>
          <w:rFonts w:hint="cs"/>
          <w:rtl/>
          <w:lang w:bidi="fa-IR"/>
        </w:rPr>
        <w:t>،</w:t>
      </w:r>
      <w:r>
        <w:rPr>
          <w:rFonts w:hint="cs"/>
          <w:rtl/>
          <w:lang w:bidi="fa-IR"/>
        </w:rPr>
        <w:t xml:space="preserve"> واجب است(در فرض دو</w:t>
      </w:r>
      <w:r w:rsidR="00332803">
        <w:rPr>
          <w:rFonts w:hint="cs"/>
          <w:rtl/>
          <w:lang w:bidi="fa-IR"/>
        </w:rPr>
        <w:t>ّ</w:t>
      </w:r>
      <w:r w:rsidR="00527DC2">
        <w:rPr>
          <w:rFonts w:hint="cs"/>
          <w:rtl/>
          <w:lang w:bidi="fa-IR"/>
        </w:rPr>
        <w:t>م)؛</w:t>
      </w:r>
      <w:r w:rsidR="00332803">
        <w:rPr>
          <w:rFonts w:hint="cs"/>
          <w:rtl/>
          <w:lang w:bidi="fa-IR"/>
        </w:rPr>
        <w:t xml:space="preserve"> </w:t>
      </w:r>
      <w:r w:rsidR="00332803">
        <w:rPr>
          <w:rFonts w:hint="cs"/>
          <w:rtl/>
          <w:lang w:bidi="ar-IQ"/>
        </w:rPr>
        <w:t>امّا اگر معلوم نشد که قید ماد</w:t>
      </w:r>
      <w:r w:rsidR="00527DC2">
        <w:rPr>
          <w:rFonts w:hint="cs"/>
          <w:rtl/>
          <w:lang w:bidi="ar-IQ"/>
        </w:rPr>
        <w:t>ّ</w:t>
      </w:r>
      <w:r w:rsidR="00332803">
        <w:rPr>
          <w:rFonts w:hint="cs"/>
          <w:rtl/>
          <w:lang w:bidi="ar-IQ"/>
        </w:rPr>
        <w:t>ه است یا هیئت و امر دائر شد بین اینکه قید را قید ماد</w:t>
      </w:r>
      <w:r w:rsidR="00527DC2">
        <w:rPr>
          <w:rFonts w:hint="cs"/>
          <w:rtl/>
          <w:lang w:bidi="ar-IQ"/>
        </w:rPr>
        <w:t>ّ</w:t>
      </w:r>
      <w:r w:rsidR="00332803">
        <w:rPr>
          <w:rFonts w:hint="cs"/>
          <w:rtl/>
          <w:lang w:bidi="ar-IQ"/>
        </w:rPr>
        <w:t>ه بدانیم یا قید هیئت و در مقام ثبوت این ترد</w:t>
      </w:r>
      <w:r w:rsidR="00527DC2">
        <w:rPr>
          <w:rFonts w:hint="cs"/>
          <w:rtl/>
          <w:lang w:bidi="ar-IQ"/>
        </w:rPr>
        <w:t>ّ</w:t>
      </w:r>
      <w:r w:rsidR="00332803">
        <w:rPr>
          <w:rFonts w:hint="cs"/>
          <w:rtl/>
          <w:lang w:bidi="ar-IQ"/>
        </w:rPr>
        <w:t>د باقی ماند و در مقام اثبات نتوانستیم این ترد</w:t>
      </w:r>
      <w:r w:rsidR="00527DC2">
        <w:rPr>
          <w:rFonts w:hint="cs"/>
          <w:rtl/>
          <w:lang w:bidi="ar-IQ"/>
        </w:rPr>
        <w:t>ّ</w:t>
      </w:r>
      <w:r w:rsidR="00332803">
        <w:rPr>
          <w:rFonts w:hint="cs"/>
          <w:rtl/>
          <w:lang w:bidi="ar-IQ"/>
        </w:rPr>
        <w:t>د را بر طرف کنیم، برای بحث مقد</w:t>
      </w:r>
      <w:r w:rsidR="00527DC2">
        <w:rPr>
          <w:rFonts w:hint="cs"/>
          <w:rtl/>
          <w:lang w:bidi="ar-IQ"/>
        </w:rPr>
        <w:t>ّ</w:t>
      </w:r>
      <w:r w:rsidR="00332803">
        <w:rPr>
          <w:rFonts w:hint="cs"/>
          <w:rtl/>
          <w:lang w:bidi="ar-IQ"/>
        </w:rPr>
        <w:t>مه ی واجب قبل از وقت یا بعد از وقت</w:t>
      </w:r>
      <w:r w:rsidR="00527DC2">
        <w:rPr>
          <w:rFonts w:hint="cs"/>
          <w:rtl/>
          <w:lang w:bidi="ar-IQ"/>
        </w:rPr>
        <w:t>،</w:t>
      </w:r>
      <w:r w:rsidR="00332803">
        <w:rPr>
          <w:rFonts w:hint="cs"/>
          <w:rtl/>
          <w:lang w:bidi="ar-IQ"/>
        </w:rPr>
        <w:t xml:space="preserve"> باید به اصول عملیه مراجعه کنیم و دست ما از ادل</w:t>
      </w:r>
      <w:r w:rsidR="00527DC2">
        <w:rPr>
          <w:rFonts w:hint="cs"/>
          <w:rtl/>
          <w:lang w:bidi="ar-IQ"/>
        </w:rPr>
        <w:t>ّ</w:t>
      </w:r>
      <w:r w:rsidR="00332803">
        <w:rPr>
          <w:rFonts w:hint="cs"/>
          <w:rtl/>
          <w:lang w:bidi="ar-IQ"/>
        </w:rPr>
        <w:t>ه ی اجتهادی کوتاه است مگر در باب مقد</w:t>
      </w:r>
      <w:r w:rsidR="00527DC2">
        <w:rPr>
          <w:rFonts w:hint="cs"/>
          <w:rtl/>
          <w:lang w:bidi="ar-IQ"/>
        </w:rPr>
        <w:t>ّ</w:t>
      </w:r>
      <w:r w:rsidR="00332803">
        <w:rPr>
          <w:rFonts w:hint="cs"/>
          <w:rtl/>
          <w:lang w:bidi="ar-IQ"/>
        </w:rPr>
        <w:t>مات مفو</w:t>
      </w:r>
      <w:r w:rsidR="00527DC2">
        <w:rPr>
          <w:rFonts w:hint="cs"/>
          <w:rtl/>
          <w:lang w:bidi="ar-IQ"/>
        </w:rPr>
        <w:t>ّ</w:t>
      </w:r>
      <w:r w:rsidR="00332803">
        <w:rPr>
          <w:rFonts w:hint="cs"/>
          <w:rtl/>
          <w:lang w:bidi="ar-IQ"/>
        </w:rPr>
        <w:t>ته که قائل شدیم به وجوب عقلی طریقی از باب قاعده ی تنافی و قاعده ی تفویت؛</w:t>
      </w:r>
    </w:p>
    <w:p w:rsidR="00332803" w:rsidRDefault="00332803" w:rsidP="00332803">
      <w:pPr>
        <w:bidi/>
        <w:rPr>
          <w:rtl/>
          <w:lang w:bidi="ar-IQ"/>
        </w:rPr>
      </w:pPr>
      <w:r>
        <w:rPr>
          <w:rFonts w:hint="cs"/>
          <w:rtl/>
          <w:lang w:bidi="ar-IQ"/>
        </w:rPr>
        <w:t>لکن شیخ در مطارح</w:t>
      </w:r>
      <w:r>
        <w:rPr>
          <w:rStyle w:val="FootnoteReference"/>
          <w:rtl/>
          <w:lang w:bidi="ar-IQ"/>
        </w:rPr>
        <w:footnoteReference w:id="1"/>
      </w:r>
      <w:r w:rsidR="00443873">
        <w:rPr>
          <w:rFonts w:hint="cs"/>
          <w:rtl/>
          <w:lang w:bidi="ar-IQ"/>
        </w:rPr>
        <w:t>می فرماید:</w:t>
      </w:r>
    </w:p>
    <w:p w:rsidR="004969A2" w:rsidRDefault="00443873" w:rsidP="004969A2">
      <w:pPr>
        <w:bidi/>
        <w:rPr>
          <w:rtl/>
          <w:lang w:bidi="fa-IR"/>
        </w:rPr>
      </w:pPr>
      <w:r>
        <w:rPr>
          <w:rFonts w:hint="cs"/>
          <w:rtl/>
          <w:lang w:bidi="fa-IR"/>
        </w:rPr>
        <w:lastRenderedPageBreak/>
        <w:t>اگر امر دائر شد بین تعل</w:t>
      </w:r>
      <w:r w:rsidR="00527DC2">
        <w:rPr>
          <w:rFonts w:hint="cs"/>
          <w:rtl/>
          <w:lang w:bidi="fa-IR"/>
        </w:rPr>
        <w:t>ّ</w:t>
      </w:r>
      <w:r>
        <w:rPr>
          <w:rFonts w:hint="cs"/>
          <w:rtl/>
          <w:lang w:bidi="fa-IR"/>
        </w:rPr>
        <w:t>ق قید به هیئت یا ماد</w:t>
      </w:r>
      <w:r w:rsidR="00527DC2">
        <w:rPr>
          <w:rFonts w:hint="cs"/>
          <w:rtl/>
          <w:lang w:bidi="fa-IR"/>
        </w:rPr>
        <w:t>ّ</w:t>
      </w:r>
      <w:r>
        <w:rPr>
          <w:rFonts w:hint="cs"/>
          <w:rtl/>
          <w:lang w:bidi="fa-IR"/>
        </w:rPr>
        <w:t>ه</w:t>
      </w:r>
      <w:r w:rsidR="00527DC2">
        <w:rPr>
          <w:rFonts w:hint="cs"/>
          <w:rtl/>
          <w:lang w:bidi="fa-IR"/>
        </w:rPr>
        <w:t>،</w:t>
      </w:r>
      <w:r>
        <w:rPr>
          <w:rFonts w:hint="cs"/>
          <w:rtl/>
          <w:lang w:bidi="fa-IR"/>
        </w:rPr>
        <w:t xml:space="preserve"> ملتزم می شویم به اینکه اطلاق هیئت باقی باشد و اطلاق ماد</w:t>
      </w:r>
      <w:r w:rsidR="00527DC2">
        <w:rPr>
          <w:rFonts w:hint="cs"/>
          <w:rtl/>
          <w:lang w:bidi="fa-IR"/>
        </w:rPr>
        <w:t>ّ</w:t>
      </w:r>
      <w:r>
        <w:rPr>
          <w:rFonts w:hint="cs"/>
          <w:rtl/>
          <w:lang w:bidi="fa-IR"/>
        </w:rPr>
        <w:t>ه مقی</w:t>
      </w:r>
      <w:r w:rsidR="00527DC2">
        <w:rPr>
          <w:rFonts w:hint="cs"/>
          <w:rtl/>
          <w:lang w:bidi="fa-IR"/>
        </w:rPr>
        <w:t xml:space="preserve">ّد شود؛ و این </w:t>
      </w:r>
      <w:r w:rsidR="004969A2">
        <w:rPr>
          <w:rFonts w:hint="cs"/>
          <w:rtl/>
          <w:lang w:bidi="fa-IR"/>
        </w:rPr>
        <w:t>به دو وجه</w:t>
      </w:r>
      <w:r w:rsidR="00527DC2">
        <w:rPr>
          <w:rFonts w:hint="cs"/>
          <w:rtl/>
          <w:lang w:bidi="fa-IR"/>
        </w:rPr>
        <w:t xml:space="preserve"> است</w:t>
      </w:r>
      <w:r w:rsidR="004969A2">
        <w:rPr>
          <w:rFonts w:hint="cs"/>
          <w:rtl/>
          <w:lang w:bidi="fa-IR"/>
        </w:rPr>
        <w:t>:</w:t>
      </w:r>
    </w:p>
    <w:p w:rsidR="004969A2" w:rsidRDefault="00E21FBD" w:rsidP="00527DC2">
      <w:pPr>
        <w:bidi/>
        <w:rPr>
          <w:rtl/>
          <w:lang w:bidi="fa-IR"/>
        </w:rPr>
      </w:pPr>
      <w:r>
        <w:rPr>
          <w:rFonts w:hint="cs"/>
          <w:rtl/>
          <w:lang w:bidi="fa-IR"/>
        </w:rPr>
        <w:t xml:space="preserve">وجه </w:t>
      </w:r>
      <w:r w:rsidR="004969A2">
        <w:rPr>
          <w:rFonts w:hint="cs"/>
          <w:rtl/>
          <w:lang w:bidi="fa-IR"/>
        </w:rPr>
        <w:t>اول: اطلاق هیئت، شمولی است و اطلاق ماد</w:t>
      </w:r>
      <w:r w:rsidR="00527DC2">
        <w:rPr>
          <w:rFonts w:hint="cs"/>
          <w:rtl/>
          <w:lang w:bidi="fa-IR"/>
        </w:rPr>
        <w:t xml:space="preserve">ّه، </w:t>
      </w:r>
      <w:r w:rsidR="004969A2">
        <w:rPr>
          <w:rFonts w:hint="cs"/>
          <w:rtl/>
          <w:lang w:bidi="fa-IR"/>
        </w:rPr>
        <w:t>بدلی</w:t>
      </w:r>
      <w:r w:rsidR="00527DC2">
        <w:rPr>
          <w:rFonts w:hint="cs"/>
          <w:rtl/>
          <w:lang w:bidi="fa-IR"/>
        </w:rPr>
        <w:t>؛</w:t>
      </w:r>
      <w:r w:rsidR="004969A2">
        <w:rPr>
          <w:rFonts w:hint="cs"/>
          <w:rtl/>
          <w:lang w:bidi="fa-IR"/>
        </w:rPr>
        <w:t xml:space="preserve"> همیشه </w:t>
      </w:r>
      <w:r w:rsidR="00527DC2">
        <w:rPr>
          <w:rFonts w:hint="cs"/>
          <w:rtl/>
          <w:lang w:bidi="fa-IR"/>
        </w:rPr>
        <w:t xml:space="preserve">اطلاق </w:t>
      </w:r>
      <w:r w:rsidR="004969A2">
        <w:rPr>
          <w:rFonts w:hint="cs"/>
          <w:rtl/>
          <w:lang w:bidi="fa-IR"/>
        </w:rPr>
        <w:t>شمولی بر</w:t>
      </w:r>
      <w:r w:rsidR="00527DC2" w:rsidRPr="00527DC2">
        <w:rPr>
          <w:rFonts w:hint="cs"/>
          <w:rtl/>
          <w:lang w:bidi="fa-IR"/>
        </w:rPr>
        <w:t xml:space="preserve"> </w:t>
      </w:r>
      <w:r w:rsidR="00527DC2">
        <w:rPr>
          <w:rFonts w:hint="cs"/>
          <w:rtl/>
          <w:lang w:bidi="fa-IR"/>
        </w:rPr>
        <w:t>اطلاق</w:t>
      </w:r>
      <w:r w:rsidR="004969A2">
        <w:rPr>
          <w:rFonts w:hint="cs"/>
          <w:rtl/>
          <w:lang w:bidi="fa-IR"/>
        </w:rPr>
        <w:t xml:space="preserve"> بدلی رجحان دارد و بعبارة </w:t>
      </w:r>
      <w:r w:rsidR="00527DC2">
        <w:rPr>
          <w:rFonts w:hint="cs"/>
          <w:rtl/>
          <w:lang w:bidi="fa-IR"/>
        </w:rPr>
        <w:t xml:space="preserve">اطلاق </w:t>
      </w:r>
      <w:r w:rsidR="004969A2">
        <w:rPr>
          <w:rFonts w:hint="cs"/>
          <w:rtl/>
          <w:lang w:bidi="fa-IR"/>
        </w:rPr>
        <w:t>شمولی اقوای از</w:t>
      </w:r>
      <w:r w:rsidR="00527DC2" w:rsidRPr="00527DC2">
        <w:rPr>
          <w:rFonts w:hint="cs"/>
          <w:rtl/>
          <w:lang w:bidi="fa-IR"/>
        </w:rPr>
        <w:t xml:space="preserve"> </w:t>
      </w:r>
      <w:r w:rsidR="00527DC2">
        <w:rPr>
          <w:rFonts w:hint="cs"/>
          <w:rtl/>
          <w:lang w:bidi="fa-IR"/>
        </w:rPr>
        <w:t>اطلاق</w:t>
      </w:r>
      <w:r w:rsidR="004969A2">
        <w:rPr>
          <w:rFonts w:hint="cs"/>
          <w:rtl/>
          <w:lang w:bidi="fa-IR"/>
        </w:rPr>
        <w:t xml:space="preserve"> بدلی است.</w:t>
      </w:r>
    </w:p>
    <w:p w:rsidR="004969A2" w:rsidRDefault="004969A2" w:rsidP="00BC712A">
      <w:pPr>
        <w:bidi/>
        <w:rPr>
          <w:rtl/>
          <w:lang w:bidi="fa-IR"/>
        </w:rPr>
      </w:pPr>
      <w:r>
        <w:rPr>
          <w:rFonts w:hint="cs"/>
          <w:rtl/>
          <w:lang w:bidi="fa-IR"/>
        </w:rPr>
        <w:t>توضیح: اطلاق یعنی شمول یک لفظ بر افراد کثیر از نظر معنا</w:t>
      </w:r>
      <w:r w:rsidR="0025036D">
        <w:rPr>
          <w:rFonts w:hint="cs"/>
          <w:rtl/>
          <w:lang w:bidi="fa-IR"/>
        </w:rPr>
        <w:t>؛ این</w:t>
      </w:r>
      <w:r>
        <w:rPr>
          <w:rFonts w:hint="cs"/>
          <w:rtl/>
          <w:lang w:bidi="fa-IR"/>
        </w:rPr>
        <w:t xml:space="preserve"> بر دو قسم است: احوالی و افرادی؛ آنچه مد</w:t>
      </w:r>
      <w:r w:rsidR="0025036D">
        <w:rPr>
          <w:rFonts w:hint="cs"/>
          <w:rtl/>
          <w:lang w:bidi="fa-IR"/>
        </w:rPr>
        <w:t>ّ</w:t>
      </w:r>
      <w:r>
        <w:rPr>
          <w:rFonts w:hint="cs"/>
          <w:rtl/>
          <w:lang w:bidi="fa-IR"/>
        </w:rPr>
        <w:t xml:space="preserve"> نظر شیخ است احوالی است یعنی هیئت دلالت دارد بر افراد مختلفی با حالات مختلف</w:t>
      </w:r>
      <w:r w:rsidR="0025036D">
        <w:rPr>
          <w:rFonts w:hint="cs"/>
          <w:rtl/>
          <w:lang w:bidi="fa-IR"/>
        </w:rPr>
        <w:t>؛</w:t>
      </w:r>
      <w:r>
        <w:rPr>
          <w:rFonts w:hint="cs"/>
          <w:rtl/>
          <w:lang w:bidi="fa-IR"/>
        </w:rPr>
        <w:t xml:space="preserve"> مثلاً </w:t>
      </w:r>
      <w:r w:rsidR="0025036D">
        <w:rPr>
          <w:rFonts w:hint="cs"/>
          <w:rtl/>
          <w:lang w:bidi="fa-IR"/>
        </w:rPr>
        <w:t>هیئت «</w:t>
      </w:r>
      <w:r>
        <w:rPr>
          <w:rFonts w:hint="cs"/>
          <w:rtl/>
          <w:lang w:bidi="fa-IR"/>
        </w:rPr>
        <w:t>أکرم</w:t>
      </w:r>
      <w:r w:rsidR="0025036D">
        <w:rPr>
          <w:rFonts w:hint="cs"/>
          <w:rtl/>
          <w:lang w:bidi="fa-IR"/>
        </w:rPr>
        <w:t>»</w:t>
      </w:r>
      <w:r>
        <w:rPr>
          <w:rFonts w:hint="cs"/>
          <w:rtl/>
          <w:lang w:bidi="fa-IR"/>
        </w:rPr>
        <w:t xml:space="preserve"> که دال</w:t>
      </w:r>
      <w:r w:rsidR="0025036D">
        <w:rPr>
          <w:rFonts w:hint="cs"/>
          <w:rtl/>
          <w:lang w:bidi="fa-IR"/>
        </w:rPr>
        <w:t>ّ</w:t>
      </w:r>
      <w:r>
        <w:rPr>
          <w:rFonts w:hint="cs"/>
          <w:rtl/>
          <w:lang w:bidi="fa-IR"/>
        </w:rPr>
        <w:t xml:space="preserve"> بر وجوب اکرام است، شامل تمام حالات می شود.</w:t>
      </w:r>
      <w:r w:rsidR="00F90CE0">
        <w:rPr>
          <w:rFonts w:hint="cs"/>
          <w:rtl/>
          <w:lang w:bidi="fa-IR"/>
        </w:rPr>
        <w:t xml:space="preserve"> اما اطلاق ماد</w:t>
      </w:r>
      <w:r w:rsidR="0025036D">
        <w:rPr>
          <w:rFonts w:hint="cs"/>
          <w:rtl/>
          <w:lang w:bidi="fa-IR"/>
        </w:rPr>
        <w:t>ّ</w:t>
      </w:r>
      <w:r w:rsidR="00F90CE0">
        <w:rPr>
          <w:rFonts w:hint="cs"/>
          <w:rtl/>
          <w:lang w:bidi="fa-IR"/>
        </w:rPr>
        <w:t>ه که افرادی است فقط شامل یک فرد می باشد علی البدل؛ شیخ می فرماید در دوران امر بین اطلاق احوالی شمولی و بین اطلاق بدلی فردی،</w:t>
      </w:r>
      <w:r w:rsidR="001B19A9">
        <w:rPr>
          <w:rtl/>
          <w:lang w:bidi="fa-IR"/>
        </w:rPr>
        <w:t>اطلاق</w:t>
      </w:r>
      <w:r w:rsidR="00F90CE0">
        <w:rPr>
          <w:rFonts w:hint="cs"/>
          <w:rtl/>
          <w:lang w:bidi="fa-IR"/>
        </w:rPr>
        <w:t xml:space="preserve"> بدلی مقی</w:t>
      </w:r>
      <w:r w:rsidR="001B19A9">
        <w:rPr>
          <w:rFonts w:hint="cs"/>
          <w:rtl/>
          <w:lang w:bidi="fa-IR"/>
        </w:rPr>
        <w:t>ّ</w:t>
      </w:r>
      <w:r w:rsidR="00F90CE0">
        <w:rPr>
          <w:rFonts w:hint="cs"/>
          <w:rtl/>
          <w:lang w:bidi="fa-IR"/>
        </w:rPr>
        <w:t>د می شود و</w:t>
      </w:r>
      <w:r w:rsidR="001B19A9">
        <w:rPr>
          <w:rtl/>
          <w:lang w:bidi="fa-IR"/>
        </w:rPr>
        <w:t>اطلاق</w:t>
      </w:r>
      <w:r w:rsidR="00F90CE0">
        <w:rPr>
          <w:rFonts w:hint="cs"/>
          <w:rtl/>
          <w:lang w:bidi="fa-IR"/>
        </w:rPr>
        <w:t xml:space="preserve"> احوالی باقی می ماند. در نتیجه واجب مطلق</w:t>
      </w:r>
      <w:r w:rsidR="001B19A9">
        <w:rPr>
          <w:rFonts w:hint="cs"/>
          <w:rtl/>
          <w:lang w:bidi="fa-IR"/>
        </w:rPr>
        <w:t>ِ</w:t>
      </w:r>
      <w:r w:rsidR="00F90CE0">
        <w:rPr>
          <w:rFonts w:hint="cs"/>
          <w:rtl/>
          <w:lang w:bidi="fa-IR"/>
        </w:rPr>
        <w:t xml:space="preserve"> نسبت به قید و شرط </w:t>
      </w:r>
      <w:r w:rsidR="00BC712A">
        <w:rPr>
          <w:rFonts w:hint="cs"/>
          <w:rtl/>
          <w:lang w:bidi="fa-IR"/>
        </w:rPr>
        <w:t xml:space="preserve">را </w:t>
      </w:r>
      <w:r w:rsidR="00F90CE0">
        <w:rPr>
          <w:rFonts w:hint="cs"/>
          <w:rtl/>
          <w:lang w:bidi="fa-IR"/>
        </w:rPr>
        <w:t>ایجاد می کنیم.</w:t>
      </w:r>
    </w:p>
    <w:p w:rsidR="00BC712A" w:rsidRDefault="00E21FBD" w:rsidP="001B19A9">
      <w:pPr>
        <w:bidi/>
        <w:rPr>
          <w:rtl/>
          <w:lang w:bidi="fa-IR"/>
        </w:rPr>
      </w:pPr>
      <w:r>
        <w:rPr>
          <w:rFonts w:hint="cs"/>
          <w:rtl/>
          <w:lang w:bidi="fa-IR"/>
        </w:rPr>
        <w:t xml:space="preserve">وجه </w:t>
      </w:r>
      <w:r w:rsidR="00073A9A">
        <w:rPr>
          <w:rFonts w:hint="cs"/>
          <w:rtl/>
          <w:lang w:bidi="fa-IR"/>
        </w:rPr>
        <w:t>دو</w:t>
      </w:r>
      <w:r w:rsidR="001B19A9">
        <w:rPr>
          <w:rFonts w:hint="cs"/>
          <w:rtl/>
          <w:lang w:bidi="fa-IR"/>
        </w:rPr>
        <w:t>ّ</w:t>
      </w:r>
      <w:r w:rsidR="00073A9A">
        <w:rPr>
          <w:rFonts w:hint="cs"/>
          <w:rtl/>
          <w:lang w:bidi="fa-IR"/>
        </w:rPr>
        <w:t>م: تقیید هیئت موجب از بین رفتن اطلاق ماد</w:t>
      </w:r>
      <w:r w:rsidR="001B19A9">
        <w:rPr>
          <w:rFonts w:hint="cs"/>
          <w:rtl/>
          <w:lang w:bidi="fa-IR"/>
        </w:rPr>
        <w:t>ّ</w:t>
      </w:r>
      <w:r w:rsidR="00073A9A">
        <w:rPr>
          <w:rFonts w:hint="cs"/>
          <w:rtl/>
          <w:lang w:bidi="fa-IR"/>
        </w:rPr>
        <w:t>ه</w:t>
      </w:r>
      <w:r w:rsidR="001B19A9">
        <w:rPr>
          <w:rFonts w:hint="cs"/>
          <w:rtl/>
          <w:lang w:bidi="fa-IR"/>
        </w:rPr>
        <w:t xml:space="preserve"> نیز</w:t>
      </w:r>
      <w:r w:rsidR="00073A9A">
        <w:rPr>
          <w:rFonts w:hint="cs"/>
          <w:rtl/>
          <w:lang w:bidi="fa-IR"/>
        </w:rPr>
        <w:t xml:space="preserve"> </w:t>
      </w:r>
      <w:r w:rsidR="001B19A9">
        <w:rPr>
          <w:rFonts w:hint="cs"/>
          <w:rtl/>
          <w:lang w:bidi="fa-IR"/>
        </w:rPr>
        <w:t>می شود</w:t>
      </w:r>
      <w:r w:rsidR="00073A9A">
        <w:rPr>
          <w:rFonts w:hint="cs"/>
          <w:rtl/>
          <w:lang w:bidi="fa-IR"/>
        </w:rPr>
        <w:t xml:space="preserve"> و لا العکس</w:t>
      </w:r>
      <w:r w:rsidR="001B19A9">
        <w:rPr>
          <w:rFonts w:hint="cs"/>
          <w:rtl/>
          <w:lang w:bidi="fa-IR"/>
        </w:rPr>
        <w:t xml:space="preserve"> یعنی</w:t>
      </w:r>
      <w:r w:rsidR="00073A9A">
        <w:rPr>
          <w:rFonts w:hint="cs"/>
          <w:rtl/>
          <w:lang w:bidi="fa-IR"/>
        </w:rPr>
        <w:t xml:space="preserve"> تقیید ماد</w:t>
      </w:r>
      <w:r w:rsidR="001B19A9">
        <w:rPr>
          <w:rFonts w:hint="cs"/>
          <w:rtl/>
          <w:lang w:bidi="fa-IR"/>
        </w:rPr>
        <w:t>ّ</w:t>
      </w:r>
      <w:r w:rsidR="00073A9A">
        <w:rPr>
          <w:rFonts w:hint="cs"/>
          <w:rtl/>
          <w:lang w:bidi="fa-IR"/>
        </w:rPr>
        <w:t>ه موجب از بین رفتن اطلاق هیئت نمی شود؛ مثلا</w:t>
      </w:r>
      <w:r w:rsidR="001B19A9">
        <w:rPr>
          <w:rFonts w:hint="cs"/>
          <w:rtl/>
          <w:lang w:bidi="fa-IR"/>
        </w:rPr>
        <w:t>ً</w:t>
      </w:r>
      <w:r w:rsidR="00073A9A">
        <w:rPr>
          <w:rFonts w:hint="cs"/>
          <w:rtl/>
          <w:lang w:bidi="fa-IR"/>
        </w:rPr>
        <w:t xml:space="preserve"> اگر وجوب حج</w:t>
      </w:r>
      <w:r w:rsidR="001B19A9">
        <w:rPr>
          <w:rFonts w:hint="cs"/>
          <w:rtl/>
          <w:lang w:bidi="fa-IR"/>
        </w:rPr>
        <w:t>ّ</w:t>
      </w:r>
      <w:r w:rsidR="00073A9A">
        <w:rPr>
          <w:rFonts w:hint="cs"/>
          <w:rtl/>
          <w:lang w:bidi="fa-IR"/>
        </w:rPr>
        <w:t xml:space="preserve"> مقید شود به استطاعت، خود حج</w:t>
      </w:r>
      <w:r w:rsidR="001B19A9">
        <w:rPr>
          <w:rFonts w:hint="cs"/>
          <w:rtl/>
          <w:lang w:bidi="fa-IR"/>
        </w:rPr>
        <w:t>ّ</w:t>
      </w:r>
      <w:r w:rsidR="00073A9A">
        <w:rPr>
          <w:rFonts w:hint="cs"/>
          <w:rtl/>
          <w:lang w:bidi="fa-IR"/>
        </w:rPr>
        <w:t xml:space="preserve"> نیز مقی</w:t>
      </w:r>
      <w:r w:rsidR="001B19A9">
        <w:rPr>
          <w:rFonts w:hint="cs"/>
          <w:rtl/>
          <w:lang w:bidi="fa-IR"/>
        </w:rPr>
        <w:t>ّ</w:t>
      </w:r>
      <w:r w:rsidR="00073A9A">
        <w:rPr>
          <w:rFonts w:hint="cs"/>
          <w:rtl/>
          <w:lang w:bidi="fa-IR"/>
        </w:rPr>
        <w:t>د می شود زیرا هیئت عارض بر ماد</w:t>
      </w:r>
      <w:r w:rsidR="001B19A9">
        <w:rPr>
          <w:rFonts w:hint="cs"/>
          <w:rtl/>
          <w:lang w:bidi="fa-IR"/>
        </w:rPr>
        <w:t>ّ</w:t>
      </w:r>
      <w:r w:rsidR="00073A9A">
        <w:rPr>
          <w:rFonts w:hint="cs"/>
          <w:rtl/>
          <w:lang w:bidi="fa-IR"/>
        </w:rPr>
        <w:t>ه است و هرگاه عرض تغییر کند، محل</w:t>
      </w:r>
      <w:r w:rsidR="001B19A9">
        <w:rPr>
          <w:rFonts w:hint="cs"/>
          <w:rtl/>
          <w:lang w:bidi="fa-IR"/>
        </w:rPr>
        <w:t>ّ</w:t>
      </w:r>
      <w:r w:rsidR="00073A9A">
        <w:rPr>
          <w:rFonts w:hint="cs"/>
          <w:rtl/>
          <w:lang w:bidi="fa-IR"/>
        </w:rPr>
        <w:t xml:space="preserve"> خود را نیز تغییر می دهد.</w:t>
      </w:r>
      <w:r w:rsidR="00BC712A">
        <w:rPr>
          <w:rFonts w:hint="cs"/>
          <w:rtl/>
          <w:lang w:bidi="fa-IR"/>
        </w:rPr>
        <w:t xml:space="preserve"> و</w:t>
      </w:r>
      <w:bookmarkStart w:id="0" w:name="_GoBack"/>
      <w:bookmarkEnd w:id="0"/>
      <w:r w:rsidR="00BC712A">
        <w:rPr>
          <w:rFonts w:hint="cs"/>
          <w:rtl/>
          <w:lang w:bidi="fa-IR"/>
        </w:rPr>
        <w:t xml:space="preserve"> چون تقیید</w:t>
      </w:r>
      <w:r w:rsidR="001B19A9">
        <w:rPr>
          <w:rFonts w:hint="cs"/>
          <w:rtl/>
          <w:lang w:bidi="fa-IR"/>
        </w:rPr>
        <w:t>،</w:t>
      </w:r>
      <w:r w:rsidR="00BC712A">
        <w:rPr>
          <w:rFonts w:hint="cs"/>
          <w:rtl/>
          <w:lang w:bidi="fa-IR"/>
        </w:rPr>
        <w:t xml:space="preserve"> خلاف اصل است باید به حد</w:t>
      </w:r>
      <w:r w:rsidR="001B19A9">
        <w:rPr>
          <w:rFonts w:hint="cs"/>
          <w:rtl/>
          <w:lang w:bidi="fa-IR"/>
        </w:rPr>
        <w:t>ّ</w:t>
      </w:r>
      <w:r w:rsidR="00BC712A">
        <w:rPr>
          <w:rFonts w:hint="cs"/>
          <w:rtl/>
          <w:lang w:bidi="fa-IR"/>
        </w:rPr>
        <w:t>اقل اکتفا</w:t>
      </w:r>
      <w:r w:rsidR="001B19A9">
        <w:rPr>
          <w:rFonts w:hint="cs"/>
          <w:rtl/>
          <w:lang w:bidi="fa-IR"/>
        </w:rPr>
        <w:t>ء</w:t>
      </w:r>
      <w:r w:rsidR="00BC712A">
        <w:rPr>
          <w:rFonts w:hint="cs"/>
          <w:rtl/>
          <w:lang w:bidi="fa-IR"/>
        </w:rPr>
        <w:t xml:space="preserve"> شود زیرا سل</w:t>
      </w:r>
      <w:r w:rsidR="001B19A9">
        <w:rPr>
          <w:rFonts w:hint="cs"/>
          <w:rtl/>
          <w:lang w:bidi="fa-IR"/>
        </w:rPr>
        <w:t>ّ</w:t>
      </w:r>
      <w:r w:rsidR="00BC712A">
        <w:rPr>
          <w:rFonts w:hint="cs"/>
          <w:rtl/>
          <w:lang w:bidi="fa-IR"/>
        </w:rPr>
        <w:t>منا که تقیید مجاز نباشد لکن خلاف اصل است لذا باید به حد</w:t>
      </w:r>
      <w:r w:rsidR="001B19A9">
        <w:rPr>
          <w:rFonts w:hint="cs"/>
          <w:rtl/>
          <w:lang w:bidi="fa-IR"/>
        </w:rPr>
        <w:t>ّ</w:t>
      </w:r>
      <w:r w:rsidR="00BC712A">
        <w:rPr>
          <w:rFonts w:hint="cs"/>
          <w:rtl/>
          <w:lang w:bidi="fa-IR"/>
        </w:rPr>
        <w:t>اقل اکتفا</w:t>
      </w:r>
      <w:r w:rsidR="001B19A9">
        <w:rPr>
          <w:rFonts w:hint="cs"/>
          <w:rtl/>
          <w:lang w:bidi="fa-IR"/>
        </w:rPr>
        <w:t>ء</w:t>
      </w:r>
      <w:r w:rsidR="00BC712A">
        <w:rPr>
          <w:rFonts w:hint="cs"/>
          <w:rtl/>
          <w:lang w:bidi="fa-IR"/>
        </w:rPr>
        <w:t xml:space="preserve"> شود لذا در مانحن فیه باید ماد</w:t>
      </w:r>
      <w:r w:rsidR="001B19A9">
        <w:rPr>
          <w:rFonts w:hint="cs"/>
          <w:rtl/>
          <w:lang w:bidi="fa-IR"/>
        </w:rPr>
        <w:t>ّ</w:t>
      </w:r>
      <w:r w:rsidR="00BC712A">
        <w:rPr>
          <w:rFonts w:hint="cs"/>
          <w:rtl/>
          <w:lang w:bidi="fa-IR"/>
        </w:rPr>
        <w:t>ه را مقی</w:t>
      </w:r>
      <w:r w:rsidR="001B19A9">
        <w:rPr>
          <w:rFonts w:hint="cs"/>
          <w:rtl/>
          <w:lang w:bidi="fa-IR"/>
        </w:rPr>
        <w:t>ّ</w:t>
      </w:r>
      <w:r w:rsidR="00BC712A">
        <w:rPr>
          <w:rFonts w:hint="cs"/>
          <w:rtl/>
          <w:lang w:bidi="fa-IR"/>
        </w:rPr>
        <w:t>د کرد نه هیئت را.</w:t>
      </w:r>
    </w:p>
    <w:p w:rsidR="00CD3E59" w:rsidRPr="00527DC2" w:rsidRDefault="00CD3E59" w:rsidP="00CD3E59">
      <w:pPr>
        <w:bidi/>
        <w:rPr>
          <w:color w:val="FF0000"/>
          <w:rtl/>
          <w:lang w:bidi="fa-IR"/>
        </w:rPr>
      </w:pPr>
      <w:r w:rsidRPr="00527DC2">
        <w:rPr>
          <w:rFonts w:hint="cs"/>
          <w:color w:val="FF0000"/>
          <w:rtl/>
          <w:lang w:bidi="fa-IR"/>
        </w:rPr>
        <w:t>(پایان)</w:t>
      </w:r>
    </w:p>
    <w:sectPr w:rsidR="00CD3E59" w:rsidRPr="00527DC2" w:rsidSect="006916F0">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219" w:rsidRDefault="00094219" w:rsidP="00332803">
      <w:r>
        <w:separator/>
      </w:r>
    </w:p>
  </w:endnote>
  <w:endnote w:type="continuationSeparator" w:id="0">
    <w:p w:rsidR="00094219" w:rsidRDefault="00094219" w:rsidP="0033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219" w:rsidRDefault="00094219" w:rsidP="00332803">
      <w:r>
        <w:separator/>
      </w:r>
    </w:p>
  </w:footnote>
  <w:footnote w:type="continuationSeparator" w:id="0">
    <w:p w:rsidR="00094219" w:rsidRDefault="00094219" w:rsidP="00332803">
      <w:r>
        <w:continuationSeparator/>
      </w:r>
    </w:p>
  </w:footnote>
  <w:footnote w:id="1">
    <w:p w:rsidR="00332803" w:rsidRPr="00332803" w:rsidRDefault="00332803" w:rsidP="00443873">
      <w:pPr>
        <w:pStyle w:val="FootnoteText"/>
        <w:bidi/>
        <w:rPr>
          <w:sz w:val="24"/>
          <w:szCs w:val="24"/>
          <w:rtl/>
          <w:lang w:bidi="fa-IR"/>
        </w:rPr>
      </w:pPr>
      <w:r w:rsidRPr="00332803">
        <w:rPr>
          <w:rStyle w:val="FootnoteReference"/>
          <w:sz w:val="24"/>
          <w:szCs w:val="24"/>
        </w:rPr>
        <w:footnoteRef/>
      </w:r>
      <w:r w:rsidRPr="00332803">
        <w:rPr>
          <w:sz w:val="24"/>
          <w:szCs w:val="24"/>
        </w:rPr>
        <w:t xml:space="preserve"> </w:t>
      </w:r>
      <w:r w:rsidRPr="00332803">
        <w:rPr>
          <w:rFonts w:hint="cs"/>
          <w:sz w:val="24"/>
          <w:szCs w:val="24"/>
          <w:rtl/>
          <w:lang w:bidi="fa-IR"/>
        </w:rPr>
        <w:t xml:space="preserve">. </w:t>
      </w:r>
      <w:r w:rsidRPr="00332803">
        <w:rPr>
          <w:sz w:val="24"/>
          <w:szCs w:val="24"/>
          <w:rtl/>
          <w:lang w:bidi="fa-IR"/>
        </w:rPr>
        <w:t xml:space="preserve">و كيف كان، فقد يظهر من بعض المتأخّرين: أنّه لا بدّ من التوقّف في مقام الاجتهاد، و يجب الرجوع إلى ما هو قضيّة الاصول </w:t>
      </w:r>
      <w:r w:rsidR="00443873">
        <w:rPr>
          <w:sz w:val="24"/>
          <w:szCs w:val="24"/>
          <w:rtl/>
          <w:lang w:bidi="fa-IR"/>
        </w:rPr>
        <w:t>في العمل، بل لعلّه عليه المشهور</w:t>
      </w:r>
      <w:r w:rsidRPr="00332803">
        <w:rPr>
          <w:sz w:val="24"/>
          <w:szCs w:val="24"/>
          <w:rtl/>
          <w:lang w:bidi="fa-IR"/>
        </w:rPr>
        <w:t xml:space="preserve"> أيضا</w:t>
      </w:r>
      <w:r w:rsidRPr="00332803">
        <w:rPr>
          <w:sz w:val="24"/>
          <w:szCs w:val="24"/>
          <w:lang w:bidi="fa-IR"/>
        </w:rPr>
        <w:t>.</w:t>
      </w:r>
      <w:r w:rsidR="00443873">
        <w:rPr>
          <w:rFonts w:hint="cs"/>
          <w:sz w:val="24"/>
          <w:szCs w:val="24"/>
          <w:rtl/>
          <w:lang w:bidi="fa-IR"/>
        </w:rPr>
        <w:t xml:space="preserve"> </w:t>
      </w:r>
      <w:r w:rsidRPr="00332803">
        <w:rPr>
          <w:sz w:val="24"/>
          <w:szCs w:val="24"/>
          <w:rtl/>
          <w:lang w:bidi="fa-IR"/>
        </w:rPr>
        <w:t>أمّا الأوّل، فللقطع بورود المقيّد على أحد الإطلاقين، و لا مرجّح لأحدهما، فلا مناص من التوقّف</w:t>
      </w:r>
      <w:r w:rsidRPr="00332803">
        <w:rPr>
          <w:sz w:val="24"/>
          <w:szCs w:val="24"/>
          <w:lang w:bidi="fa-IR"/>
        </w:rPr>
        <w:t>.</w:t>
      </w:r>
      <w:r w:rsidR="00443873">
        <w:rPr>
          <w:rFonts w:hint="cs"/>
          <w:sz w:val="24"/>
          <w:szCs w:val="24"/>
          <w:rtl/>
          <w:lang w:bidi="fa-IR"/>
        </w:rPr>
        <w:t xml:space="preserve"> </w:t>
      </w:r>
      <w:r w:rsidRPr="00332803">
        <w:rPr>
          <w:sz w:val="24"/>
          <w:szCs w:val="24"/>
          <w:rtl/>
          <w:lang w:bidi="fa-IR"/>
        </w:rPr>
        <w:t>و أمّا الثاني، فستعرف الوجه فيه في المورد الثاني</w:t>
      </w:r>
      <w:r w:rsidRPr="00332803">
        <w:rPr>
          <w:sz w:val="24"/>
          <w:szCs w:val="24"/>
          <w:lang w:bidi="fa-IR"/>
        </w:rPr>
        <w:t>.</w:t>
      </w:r>
      <w:r w:rsidR="00443873">
        <w:rPr>
          <w:rFonts w:hint="cs"/>
          <w:sz w:val="24"/>
          <w:szCs w:val="24"/>
          <w:rtl/>
          <w:lang w:bidi="fa-IR"/>
        </w:rPr>
        <w:t xml:space="preserve"> </w:t>
      </w:r>
      <w:r w:rsidRPr="00332803">
        <w:rPr>
          <w:sz w:val="24"/>
          <w:szCs w:val="24"/>
          <w:rtl/>
          <w:lang w:bidi="fa-IR"/>
        </w:rPr>
        <w:t>و أمّا التمسّك بأصالة الإطلاق في جانب الهيئة- لأنّ تقييد المادّة معلوم على الوجهين، إذ تقييد الهيئة لا ينفكّ عن تقييد الماد</w:t>
      </w:r>
      <w:r w:rsidR="00443873">
        <w:rPr>
          <w:sz w:val="24"/>
          <w:szCs w:val="24"/>
          <w:rtl/>
          <w:lang w:bidi="fa-IR"/>
        </w:rPr>
        <w:t>ّة، بخلاف تقييد المادّة، فينبغي</w:t>
      </w:r>
      <w:r w:rsidRPr="00332803">
        <w:rPr>
          <w:sz w:val="24"/>
          <w:szCs w:val="24"/>
          <w:rtl/>
          <w:lang w:bidi="fa-IR"/>
        </w:rPr>
        <w:t xml:space="preserve"> إطلاق الهيئة- في محلّه</w:t>
      </w:r>
      <w:r w:rsidRPr="00332803">
        <w:rPr>
          <w:sz w:val="24"/>
          <w:szCs w:val="24"/>
          <w:lang w:bidi="fa-IR"/>
        </w:rPr>
        <w:t>.</w:t>
      </w:r>
      <w:r w:rsidR="00443873">
        <w:rPr>
          <w:rFonts w:hint="cs"/>
          <w:sz w:val="24"/>
          <w:szCs w:val="24"/>
          <w:rtl/>
          <w:lang w:bidi="fa-IR"/>
        </w:rPr>
        <w:t xml:space="preserve"> </w:t>
      </w:r>
      <w:r w:rsidRPr="00332803">
        <w:rPr>
          <w:sz w:val="24"/>
          <w:szCs w:val="24"/>
          <w:rtl/>
          <w:lang w:bidi="fa-IR"/>
        </w:rPr>
        <w:t>فقد يجاب عنه: بأنّ تقييد المادّة غير معقول بما هو مقيّد للهيئة، لأنّ موضوع التكليف و الأمر لا بدّ أن يكون قبل تحقّق الأمر متحقّقا، و إذا فرض تقييد المأمور به بشي‏ء فلا يتعقّل اعتباره في الوجوب؛ لأنّه يلزم إتيانه بمقتضى تقييد المادّة به- كما في‏</w:t>
      </w:r>
      <w:r w:rsidR="00443873">
        <w:rPr>
          <w:rFonts w:hint="cs"/>
          <w:sz w:val="24"/>
          <w:szCs w:val="24"/>
          <w:rtl/>
          <w:lang w:bidi="fa-IR"/>
        </w:rPr>
        <w:t xml:space="preserve"> </w:t>
      </w:r>
      <w:r w:rsidRPr="00332803">
        <w:rPr>
          <w:sz w:val="24"/>
          <w:szCs w:val="24"/>
          <w:rtl/>
          <w:lang w:bidi="fa-IR"/>
        </w:rPr>
        <w:t>نحوه من قيودها- و لا يلزم الإتيان به بمقتضى كونه من قيود الهيئة، فلا يصحّ اعتبار شي‏ء واحد في المادّة و الهيئة معا</w:t>
      </w:r>
      <w:r w:rsidRPr="00332803">
        <w:rPr>
          <w:sz w:val="24"/>
          <w:szCs w:val="24"/>
          <w:lang w:bidi="fa-IR"/>
        </w:rPr>
        <w:t>.</w:t>
      </w:r>
      <w:r w:rsidR="00443873">
        <w:rPr>
          <w:rFonts w:hint="cs"/>
          <w:sz w:val="24"/>
          <w:szCs w:val="24"/>
          <w:rtl/>
          <w:lang w:bidi="fa-IR"/>
        </w:rPr>
        <w:t xml:space="preserve"> </w:t>
      </w:r>
      <w:r w:rsidRPr="00332803">
        <w:rPr>
          <w:sz w:val="24"/>
          <w:szCs w:val="24"/>
          <w:rtl/>
          <w:lang w:bidi="fa-IR"/>
        </w:rPr>
        <w:t>نعم، يصحّ التقييد بالنسبة إلى المقدّمة الوجوديّة الواقعيّة، لكن لا على وجه يكون تلك المقدّمة معتبرا في المادّة في نظر الآمر، لما عرفت من التناقض على تقديره</w:t>
      </w:r>
      <w:r w:rsidRPr="00332803">
        <w:rPr>
          <w:sz w:val="24"/>
          <w:szCs w:val="24"/>
          <w:lang w:bidi="fa-IR"/>
        </w:rPr>
        <w:t>.</w:t>
      </w:r>
      <w:r w:rsidR="00443873">
        <w:rPr>
          <w:rFonts w:hint="cs"/>
          <w:sz w:val="24"/>
          <w:szCs w:val="24"/>
          <w:rtl/>
          <w:lang w:bidi="fa-IR"/>
        </w:rPr>
        <w:t xml:space="preserve"> </w:t>
      </w:r>
      <w:r w:rsidRPr="00332803">
        <w:rPr>
          <w:sz w:val="24"/>
          <w:szCs w:val="24"/>
          <w:rtl/>
          <w:lang w:bidi="fa-IR"/>
        </w:rPr>
        <w:t>و بعبارة واضحة: أنّ المقدّمة المعتبرة في المأمور به حكمها من حيث الوجود مثل نفس المأمور به، فلا يجب الإتيان بالقيد ما لم يتحقّق شرط الوجوب، و المفروض أنّ من القيود المعتبرة في الفعل نفس المقدّمة الوجوبيّة، فيلزم وجوبها على تقدير وجودها، و هو محال</w:t>
      </w:r>
      <w:r w:rsidRPr="00332803">
        <w:rPr>
          <w:sz w:val="24"/>
          <w:szCs w:val="24"/>
          <w:lang w:bidi="fa-IR"/>
        </w:rPr>
        <w:t>.</w:t>
      </w:r>
      <w:r w:rsidR="00443873">
        <w:rPr>
          <w:rFonts w:hint="cs"/>
          <w:sz w:val="24"/>
          <w:szCs w:val="24"/>
          <w:rtl/>
          <w:lang w:bidi="fa-IR"/>
        </w:rPr>
        <w:t xml:space="preserve"> </w:t>
      </w:r>
      <w:r w:rsidRPr="00332803">
        <w:rPr>
          <w:sz w:val="24"/>
          <w:szCs w:val="24"/>
          <w:rtl/>
          <w:lang w:bidi="fa-IR"/>
        </w:rPr>
        <w:t>نعم، ذلك إنّما يتمّ بناء على ما احتملناه: من رجوع المقدّمة الشرعيّة المأخوذة في المأمور به إلى المقدّمة العقليّة المحضة على وجه لا يكون من قيود الفعل المأمور به، فلا يجب إيجادها بما هو مفاد الأمر، و حيث إنّها من المقدّمة العقليّة الواقعيّة صحّ التقييد بها، فلا يجب عند عدمها. كما هو كذلك بالنسبة إلى القدرة، فإنّ من شرائط وجود الفعل المأمور به في الواقع هو التمكّن، مع أنّه من شرائط الوجوب أيضا، و لكن ذلك خلاف ما يظهر منهم في الموارد، كما لا يخفى</w:t>
      </w:r>
      <w:r w:rsidRPr="00332803">
        <w:rPr>
          <w:sz w:val="24"/>
          <w:szCs w:val="24"/>
          <w:lang w:bidi="fa-IR"/>
        </w:rPr>
        <w:t>.</w:t>
      </w:r>
      <w:r w:rsidR="00443873">
        <w:rPr>
          <w:rFonts w:hint="cs"/>
          <w:sz w:val="24"/>
          <w:szCs w:val="24"/>
          <w:rtl/>
          <w:lang w:bidi="fa-IR"/>
        </w:rPr>
        <w:t xml:space="preserve"> </w:t>
      </w:r>
      <w:r w:rsidRPr="00332803">
        <w:rPr>
          <w:sz w:val="24"/>
          <w:szCs w:val="24"/>
          <w:rtl/>
          <w:lang w:bidi="fa-IR"/>
        </w:rPr>
        <w:t>و كيف ما كان، ففي هذه الصورة بناء على مذاق القوم لا بدّ من الأخذ بالإطلاق في جانب الهيئة و الحكم بتقييد المادّة بوجهين</w:t>
      </w:r>
      <w:r w:rsidRPr="00332803">
        <w:rPr>
          <w:sz w:val="24"/>
          <w:szCs w:val="24"/>
          <w:lang w:bidi="fa-IR"/>
        </w:rPr>
        <w:t>:</w:t>
      </w:r>
      <w:r w:rsidR="00443873">
        <w:rPr>
          <w:rFonts w:hint="cs"/>
          <w:sz w:val="24"/>
          <w:szCs w:val="24"/>
          <w:rtl/>
          <w:lang w:bidi="fa-IR"/>
        </w:rPr>
        <w:t xml:space="preserve"> </w:t>
      </w:r>
      <w:r w:rsidRPr="00332803">
        <w:rPr>
          <w:sz w:val="24"/>
          <w:szCs w:val="24"/>
          <w:rtl/>
          <w:lang w:bidi="fa-IR"/>
        </w:rPr>
        <w:t>أحدهما: أنّ تقييد الهيئة و إن كان راجعا إلى تقييد المادّة- كما عرفت- إلّا أنّ بين إطلاق المادّة على الوجهين فرقا، إذ على تقدير إطلاقه من جهة الهيئة يكون إطلاقه شموليّا- كما في شمول العامّ لأفراده- فإنّ وجوب الإكرام على تقدير الإطلاق يشمل جميع تقادير الإكرام من الامور التي يمكن أن يكون تقديرا للإكرام، و إطلاق المادّة من غير جهة الأمر إطلاق بدلي، فإنّ المطلق غير شامل للفردين في‏</w:t>
      </w:r>
      <w:r w:rsidR="00443873">
        <w:rPr>
          <w:rFonts w:hint="cs"/>
          <w:sz w:val="24"/>
          <w:szCs w:val="24"/>
          <w:rtl/>
          <w:lang w:bidi="fa-IR"/>
        </w:rPr>
        <w:t xml:space="preserve"> </w:t>
      </w:r>
      <w:r w:rsidRPr="00332803">
        <w:rPr>
          <w:sz w:val="24"/>
          <w:szCs w:val="24"/>
          <w:rtl/>
          <w:lang w:bidi="fa-IR"/>
        </w:rPr>
        <w:t>حالة واحدة. و السرّ في ذلك ما قرّر في محلّه: من الفرق بين الإطلاق الملحوظ في الأحوال أو في الأفراد، فتأمّل</w:t>
      </w:r>
      <w:r w:rsidRPr="00332803">
        <w:rPr>
          <w:sz w:val="24"/>
          <w:szCs w:val="24"/>
          <w:lang w:bidi="fa-IR"/>
        </w:rPr>
        <w:t>.</w:t>
      </w:r>
      <w:r w:rsidR="00443873">
        <w:rPr>
          <w:rFonts w:hint="cs"/>
          <w:sz w:val="24"/>
          <w:szCs w:val="24"/>
          <w:rtl/>
          <w:lang w:bidi="fa-IR"/>
        </w:rPr>
        <w:t xml:space="preserve"> </w:t>
      </w:r>
      <w:r w:rsidRPr="00332803">
        <w:rPr>
          <w:sz w:val="24"/>
          <w:szCs w:val="24"/>
          <w:rtl/>
          <w:lang w:bidi="fa-IR"/>
        </w:rPr>
        <w:t>و ثانيهما: أنّ تقييد الهيئة و إن لم يستلزم تقييد المادّة- لما عرفت من المحذور- إلّا أنّه مع ذلك فالحكم بتقييد المادّة أولى، لدوران الأمر بين تقييدين: أحدهما يبطل محلّ الإطلاق في الآخر و يرتفع به مورده، و الآخر لا يؤثّر شيئا في مورد إطلاقه، و لا شكّ أنّ التقييد الثاني أولى</w:t>
      </w:r>
      <w:r w:rsidR="00443873">
        <w:rPr>
          <w:rFonts w:hint="cs"/>
          <w:sz w:val="24"/>
          <w:szCs w:val="24"/>
          <w:rtl/>
          <w:lang w:bidi="fa-IR"/>
        </w:rPr>
        <w:t xml:space="preserve">. </w:t>
      </w:r>
      <w:r w:rsidR="00443873" w:rsidRPr="00332803">
        <w:rPr>
          <w:sz w:val="24"/>
          <w:szCs w:val="24"/>
          <w:rtl/>
          <w:lang w:bidi="fa-IR"/>
        </w:rPr>
        <w:t>مطارح الأنظار ( طبع جديد )، ج‏1، ص: 252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6F0"/>
    <w:rsid w:val="00073A9A"/>
    <w:rsid w:val="00094219"/>
    <w:rsid w:val="001B19A9"/>
    <w:rsid w:val="0025036D"/>
    <w:rsid w:val="00332803"/>
    <w:rsid w:val="00443873"/>
    <w:rsid w:val="004969A2"/>
    <w:rsid w:val="00527DC2"/>
    <w:rsid w:val="00574CDC"/>
    <w:rsid w:val="006916F0"/>
    <w:rsid w:val="006A4C8A"/>
    <w:rsid w:val="00A72CBC"/>
    <w:rsid w:val="00BC712A"/>
    <w:rsid w:val="00CD3E59"/>
    <w:rsid w:val="00E21FBD"/>
    <w:rsid w:val="00F90C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32803"/>
    <w:rPr>
      <w:sz w:val="20"/>
      <w:szCs w:val="20"/>
    </w:rPr>
  </w:style>
  <w:style w:type="character" w:customStyle="1" w:styleId="FootnoteTextChar">
    <w:name w:val="Footnote Text Char"/>
    <w:basedOn w:val="DefaultParagraphFont"/>
    <w:link w:val="FootnoteText"/>
    <w:uiPriority w:val="99"/>
    <w:semiHidden/>
    <w:rsid w:val="00332803"/>
    <w:rPr>
      <w:sz w:val="20"/>
      <w:szCs w:val="20"/>
    </w:rPr>
  </w:style>
  <w:style w:type="character" w:styleId="FootnoteReference">
    <w:name w:val="footnote reference"/>
    <w:basedOn w:val="DefaultParagraphFont"/>
    <w:uiPriority w:val="99"/>
    <w:semiHidden/>
    <w:unhideWhenUsed/>
    <w:rsid w:val="0033280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32803"/>
    <w:rPr>
      <w:sz w:val="20"/>
      <w:szCs w:val="20"/>
    </w:rPr>
  </w:style>
  <w:style w:type="character" w:customStyle="1" w:styleId="FootnoteTextChar">
    <w:name w:val="Footnote Text Char"/>
    <w:basedOn w:val="DefaultParagraphFont"/>
    <w:link w:val="FootnoteText"/>
    <w:uiPriority w:val="99"/>
    <w:semiHidden/>
    <w:rsid w:val="00332803"/>
    <w:rPr>
      <w:sz w:val="20"/>
      <w:szCs w:val="20"/>
    </w:rPr>
  </w:style>
  <w:style w:type="character" w:styleId="FootnoteReference">
    <w:name w:val="footnote reference"/>
    <w:basedOn w:val="DefaultParagraphFont"/>
    <w:uiPriority w:val="99"/>
    <w:semiHidden/>
    <w:unhideWhenUsed/>
    <w:rsid w:val="003328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13</cp:revision>
  <dcterms:created xsi:type="dcterms:W3CDTF">2019-11-09T16:47:00Z</dcterms:created>
  <dcterms:modified xsi:type="dcterms:W3CDTF">2019-11-09T17:30:00Z</dcterms:modified>
</cp:coreProperties>
</file>